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41" w:rsidRDefault="009D0141" w:rsidP="009D0141">
      <w:pPr>
        <w:pStyle w:val="h1"/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141">
        <w:rPr>
          <w:rFonts w:ascii="Times New Roman" w:hAnsi="Times New Roman" w:cs="Times New Roman"/>
          <w:sz w:val="28"/>
          <w:szCs w:val="28"/>
        </w:rPr>
        <w:t>Готовность к школе: Что мы не понимаем?</w:t>
      </w:r>
    </w:p>
    <w:p w:rsidR="009D0141" w:rsidRPr="009D0141" w:rsidRDefault="009D0141" w:rsidP="009D0141">
      <w:pPr>
        <w:pStyle w:val="h1"/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141" w:rsidRPr="009D0141" w:rsidRDefault="007640F8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-86300</wp:posOffset>
            </wp:positionH>
            <wp:positionV relativeFrom="margin">
              <wp:posOffset>573872</wp:posOffset>
            </wp:positionV>
            <wp:extent cx="1525078" cy="1906438"/>
            <wp:effectExtent l="19050" t="0" r="0" b="0"/>
            <wp:wrapSquare wrapText="bothSides"/>
            <wp:docPr id="1" name="Рисунок 1" descr="http://www.oskemen.info/uploads/posts/2009-08/thumbs/1251128617_42320_2319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emen.info/uploads/posts/2009-08/thumbs/1251128617_42320_2319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9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>Напридумывали</w:t>
      </w:r>
      <w:proofErr w:type="spellEnd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Действительно, что значит — «не готов»?</w:t>
      </w:r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9D0141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</w:t>
      </w:r>
      <w:r w:rsidRPr="009D0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ребёнком с помощью механического снижения планки обучения, игнорируя законы его психологического развития.</w:t>
      </w:r>
    </w:p>
    <w:p w:rsidR="009D0141" w:rsidRPr="009D0141" w:rsidRDefault="007640F8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47625</wp:posOffset>
            </wp:positionV>
            <wp:extent cx="2465705" cy="1431925"/>
            <wp:effectExtent l="19050" t="0" r="0" b="0"/>
            <wp:wrapSquare wrapText="bothSides"/>
            <wp:docPr id="4" name="Рисунок 4" descr="http://mail.otvc.ru/upload/iblock/055/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otvc.ru/upload/iblock/055/kni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В чём же суть «готовности»?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9D0141" w:rsidRPr="009D0141" w:rsidRDefault="007640F8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4947285</wp:posOffset>
            </wp:positionV>
            <wp:extent cx="1917065" cy="1216025"/>
            <wp:effectExtent l="19050" t="0" r="6985" b="0"/>
            <wp:wrapSquare wrapText="bothSides"/>
            <wp:docPr id="7" name="Рисунок 7" descr="http://ulibka.ucoz.com/1/1mus/cf7c713cc044a1cad16b27238d2e9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ibka.ucoz.com/1/1mus/cf7c713cc044a1cad16b27238d2e9c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</w:t>
      </w:r>
      <w:r w:rsidRPr="009D01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="007640F8" w:rsidRPr="009D01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01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(мол, купите – и дело будет в шляпе)</w:t>
      </w:r>
      <w:r w:rsidRPr="009D0141">
        <w:rPr>
          <w:rFonts w:ascii="Times New Roman" w:hAnsi="Times New Roman" w:cs="Times New Roman"/>
          <w:color w:val="000000"/>
          <w:sz w:val="28"/>
          <w:szCs w:val="28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Что отличает ребёнка, готового к школе?</w:t>
      </w:r>
    </w:p>
    <w:p w:rsidR="009D0141" w:rsidRPr="009D0141" w:rsidRDefault="00662CF3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1358265</wp:posOffset>
            </wp:positionV>
            <wp:extent cx="2482215" cy="1914525"/>
            <wp:effectExtent l="19050" t="0" r="0" b="0"/>
            <wp:wrapSquare wrapText="bothSides"/>
            <wp:docPr id="10" name="Рисунок 10" descr="http://school5.yaguo.ru/wp-content/uploads/2012/11/im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5.yaguo.ru/wp-content/uploads/2012/11/images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Во-первых</w:t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, такой ребёнок должен уметь видеть учебную задачу, принимать её. Д. Б. </w:t>
      </w:r>
      <w:proofErr w:type="spellStart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Во-вторых</w:t>
      </w:r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9D0141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к школе? Не готовы.</w:t>
      </w:r>
    </w:p>
    <w:p w:rsidR="009D0141" w:rsidRPr="009D0141" w:rsidRDefault="00662CF3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6189345</wp:posOffset>
            </wp:positionV>
            <wp:extent cx="1917700" cy="1906270"/>
            <wp:effectExtent l="19050" t="0" r="6350" b="0"/>
            <wp:wrapSquare wrapText="bothSides"/>
            <wp:docPr id="16" name="Рисунок 16" descr="http://www.irina-hram.ru/images/photos/medium/articl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rina-hram.ru/images/photos/medium/article2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Третья составляющая</w:t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</w:t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>Местоимение «я» для них тотально: не я в конкретной деятельности, а «я» вообще, в целом.</w:t>
      </w:r>
      <w:proofErr w:type="gramEnd"/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9D0141" w:rsidRPr="009D0141" w:rsidRDefault="00662CF3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737235</wp:posOffset>
            </wp:positionV>
            <wp:extent cx="2482215" cy="1494790"/>
            <wp:effectExtent l="19050" t="0" r="0" b="0"/>
            <wp:wrapSquare wrapText="bothSides"/>
            <wp:docPr id="13" name="Рисунок 13" descr="http://леноблинформ.рф/media/cache/exact_w200h120/news_icons/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леноблинформ.рф/media/cache/exact_w200h120/news_icons/62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И, наконец, </w:t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четвёртая составляющая</w:t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рефлектирует способы своей деятельности. Если задача у него не получается, дошкольник скажет: «А я как будто сделал!».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Д. Б. </w:t>
      </w:r>
      <w:proofErr w:type="spellStart"/>
      <w:r w:rsidRPr="009D0141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9D0141">
        <w:rPr>
          <w:rFonts w:ascii="Times New Roman" w:hAnsi="Times New Roman" w:cs="Times New Roman"/>
          <w:color w:val="000000"/>
          <w:sz w:val="28"/>
          <w:szCs w:val="28"/>
        </w:rPr>
        <w:t>процессуальности</w:t>
      </w:r>
      <w:proofErr w:type="spellEnd"/>
      <w:r w:rsidRPr="009D0141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9D0141" w:rsidRPr="009D0141" w:rsidRDefault="009D0141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141">
        <w:rPr>
          <w:rFonts w:ascii="Times New Roman" w:hAnsi="Times New Roman" w:cs="Times New Roman"/>
          <w:color w:val="000000"/>
          <w:sz w:val="28"/>
          <w:szCs w:val="28"/>
        </w:rPr>
        <w:t>Вот такие специфические составляющие школьной готовности.</w:t>
      </w:r>
    </w:p>
    <w:p w:rsidR="009D0141" w:rsidRPr="009D0141" w:rsidRDefault="00662CF3" w:rsidP="009D0141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17217</wp:posOffset>
            </wp:positionH>
            <wp:positionV relativeFrom="margin">
              <wp:posOffset>5991261</wp:posOffset>
            </wp:positionV>
            <wp:extent cx="2203390" cy="2932981"/>
            <wp:effectExtent l="19050" t="0" r="6410" b="0"/>
            <wp:wrapSquare wrapText="bothSides"/>
            <wp:docPr id="19" name="Рисунок 19" descr="http://toyskola.ucoz.ru/nanaeva/september/b510fff43960de106470636e158e5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oyskola.ucoz.ru/nanaeva/september/b510fff43960de106470636e158e572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90" cy="29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41" w:rsidRPr="009D0141">
        <w:rPr>
          <w:rFonts w:ascii="Times New Roman" w:hAnsi="Times New Roman" w:cs="Times New Roman"/>
          <w:color w:val="000000"/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D3171C" w:rsidRPr="009D0141" w:rsidRDefault="00D3171C" w:rsidP="009D0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171C" w:rsidRPr="009D0141" w:rsidSect="00D7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0141"/>
    <w:rsid w:val="00662CF3"/>
    <w:rsid w:val="007640F8"/>
    <w:rsid w:val="009D0141"/>
    <w:rsid w:val="00D3171C"/>
    <w:rsid w:val="00D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141"/>
    <w:pPr>
      <w:spacing w:before="68" w:after="136" w:line="240" w:lineRule="auto"/>
      <w:ind w:firstLine="20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h1">
    <w:name w:val="h1"/>
    <w:basedOn w:val="a"/>
    <w:rsid w:val="009D0141"/>
    <w:pPr>
      <w:spacing w:after="272" w:line="240" w:lineRule="auto"/>
      <w:ind w:right="2448"/>
    </w:pPr>
    <w:rPr>
      <w:rFonts w:ascii="Arial" w:eastAsia="Times New Roman" w:hAnsi="Arial" w:cs="Arial"/>
      <w:b/>
      <w:bCs/>
      <w:color w:val="00000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6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653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1463</Words>
  <Characters>8340</Characters>
  <Application>Microsoft Office Word</Application>
  <DocSecurity>0</DocSecurity>
  <Lines>69</Lines>
  <Paragraphs>19</Paragraphs>
  <ScaleCrop>false</ScaleCrop>
  <Company>Grizli777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2014-09-26T05:02:00Z</dcterms:created>
  <dcterms:modified xsi:type="dcterms:W3CDTF">2014-09-26T06:50:00Z</dcterms:modified>
</cp:coreProperties>
</file>